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eastAsia" w:ascii="宋体" w:hAnsi="宋体" w:eastAsia="黑体" w:cs="宋体"/>
          <w:b/>
          <w:bCs/>
          <w:sz w:val="36"/>
          <w:szCs w:val="36"/>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海南省工程建设质量管理小组活动管理办法</w:t>
      </w:r>
    </w:p>
    <w:p>
      <w:pPr>
        <w:jc w:val="center"/>
        <w:rPr>
          <w:rFonts w:ascii="宋体" w:hAnsi="宋体" w:eastAsia="宋体" w:cs="宋体"/>
          <w:b/>
          <w:bCs/>
          <w:sz w:val="36"/>
          <w:szCs w:val="36"/>
        </w:rPr>
      </w:pPr>
    </w:p>
    <w:p>
      <w:pPr>
        <w:jc w:val="center"/>
        <w:rPr>
          <w:rFonts w:ascii="黑体" w:hAnsi="黑体" w:eastAsia="黑体" w:cs="宋体"/>
          <w:sz w:val="32"/>
          <w:szCs w:val="32"/>
        </w:rPr>
      </w:pPr>
      <w:r>
        <w:rPr>
          <w:rFonts w:hint="eastAsia" w:ascii="黑体" w:hAnsi="黑体" w:eastAsia="黑体" w:cs="黑体"/>
          <w:b w:val="0"/>
          <w:bCs/>
          <w:sz w:val="32"/>
          <w:szCs w:val="32"/>
        </w:rPr>
        <w:t>第一章 总则</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第一条</w:t>
      </w:r>
      <w:r>
        <w:rPr>
          <w:rFonts w:hint="eastAsia" w:ascii="仿宋" w:hAnsi="仿宋" w:eastAsia="仿宋"/>
          <w:b/>
          <w:bCs/>
          <w:sz w:val="32"/>
          <w:szCs w:val="32"/>
        </w:rPr>
        <w:t xml:space="preserve"> </w:t>
      </w:r>
      <w:r>
        <w:rPr>
          <w:rFonts w:hint="eastAsia" w:ascii="仿宋" w:hAnsi="仿宋" w:eastAsia="仿宋"/>
          <w:sz w:val="32"/>
          <w:szCs w:val="32"/>
        </w:rPr>
        <w:t>为规范海南省工程建设质量管理小组（以下简称QC小组）活动，引导QC小组活动健康发展，调动广大建筑业企业有关人员参与QC小组活动的积极性，参与质量创新和持续改进活动，进一步提升海南省工程建设行业全面质量管理理念，保证QC小组活动科学、有效、高质量开展，按照中国质量协会现行《质量管理小组活动准则》及中国建筑业协会、中国施工企业管理协会QC小组活动要求，结合我省实际制定本办法。</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第二条</w:t>
      </w:r>
      <w:r>
        <w:rPr>
          <w:rFonts w:hint="eastAsia" w:ascii="仿宋" w:hAnsi="仿宋" w:eastAsia="仿宋"/>
          <w:b/>
          <w:bCs/>
          <w:sz w:val="32"/>
          <w:szCs w:val="32"/>
        </w:rPr>
        <w:t xml:space="preserve"> </w:t>
      </w:r>
      <w:r>
        <w:rPr>
          <w:rFonts w:hint="eastAsia" w:ascii="仿宋" w:hAnsi="仿宋" w:eastAsia="仿宋"/>
          <w:bCs/>
          <w:sz w:val="32"/>
          <w:szCs w:val="32"/>
        </w:rPr>
        <w:t>QC小组</w:t>
      </w:r>
      <w:r>
        <w:rPr>
          <w:rFonts w:hint="eastAsia" w:ascii="仿宋" w:hAnsi="仿宋" w:eastAsia="仿宋"/>
          <w:sz w:val="32"/>
          <w:szCs w:val="32"/>
        </w:rPr>
        <w:t>活动坚持公开、公正、公平、科学的原则，提倡和坚持“小、实、活、新”的活动特点，采用成果内容材料评审和发表评审相结合的形式，选拔出改进质量、降低消耗、改善环境、提高组织绩效的优秀成果。</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第三条</w:t>
      </w:r>
      <w:r>
        <w:rPr>
          <w:rFonts w:hint="eastAsia" w:ascii="仿宋" w:hAnsi="仿宋" w:eastAsia="仿宋"/>
          <w:b/>
          <w:bCs/>
          <w:sz w:val="32"/>
          <w:szCs w:val="32"/>
        </w:rPr>
        <w:t xml:space="preserve"> </w:t>
      </w:r>
      <w:r>
        <w:rPr>
          <w:rFonts w:hint="eastAsia" w:ascii="仿宋" w:hAnsi="仿宋" w:eastAsia="仿宋"/>
          <w:sz w:val="32"/>
          <w:szCs w:val="32"/>
        </w:rPr>
        <w:t>海南省工程建设QC小组活动由海南省建筑业协会组织实施，本着企业自愿申报和优中选优的原则在会员单位间进行。</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第四条</w:t>
      </w:r>
      <w:r>
        <w:rPr>
          <w:rFonts w:hint="eastAsia" w:ascii="仿宋" w:hAnsi="仿宋" w:eastAsia="仿宋"/>
          <w:b/>
          <w:bCs/>
          <w:sz w:val="32"/>
          <w:szCs w:val="32"/>
        </w:rPr>
        <w:t xml:space="preserve"> </w:t>
      </w:r>
      <w:r>
        <w:rPr>
          <w:rFonts w:hint="eastAsia" w:ascii="仿宋" w:hAnsi="仿宋" w:eastAsia="仿宋"/>
          <w:sz w:val="32"/>
          <w:szCs w:val="32"/>
        </w:rPr>
        <w:t>采用培训、指导和成果评审的形式推动和开展QC小组活动，成果评审每年开展一次。</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第五条</w:t>
      </w:r>
      <w:r>
        <w:rPr>
          <w:rFonts w:hint="eastAsia" w:ascii="仿宋" w:hAnsi="仿宋" w:eastAsia="仿宋"/>
          <w:b/>
          <w:bCs/>
          <w:sz w:val="32"/>
          <w:szCs w:val="32"/>
        </w:rPr>
        <w:t xml:space="preserve"> </w:t>
      </w:r>
      <w:r>
        <w:rPr>
          <w:rFonts w:hint="eastAsia" w:ascii="仿宋" w:hAnsi="仿宋" w:eastAsia="仿宋"/>
          <w:sz w:val="32"/>
          <w:szCs w:val="32"/>
        </w:rPr>
        <w:t>为加强企业QC小组人才队伍建设，培育更多的QC小组活动骨干人才，我协会面向会员单位中相关质量管理工作人员，每年举办一至两次QC小组活动推进培训班，培训完成考试合格者</w:t>
      </w:r>
      <w:r>
        <w:rPr>
          <w:rFonts w:hint="eastAsia" w:ascii="仿宋_GB2312" w:eastAsia="仿宋_GB2312"/>
          <w:sz w:val="32"/>
          <w:szCs w:val="32"/>
        </w:rPr>
        <w:t>可成立QC小组，组织本单位成果参加海南省工程建设QC小组活动。</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第六条</w:t>
      </w:r>
      <w:r>
        <w:rPr>
          <w:rFonts w:hint="eastAsia" w:ascii="仿宋" w:hAnsi="仿宋" w:eastAsia="仿宋"/>
          <w:sz w:val="32"/>
          <w:szCs w:val="32"/>
        </w:rPr>
        <w:t xml:space="preserve"> 本办法适用于建筑施工、建筑安装、装饰装修、市政公用、建设机械、公路桥梁、水利水电、电力、园林、港口航道等工程建设行业。</w:t>
      </w:r>
    </w:p>
    <w:p>
      <w:pPr>
        <w:tabs>
          <w:tab w:val="left" w:pos="900"/>
          <w:tab w:val="left" w:pos="1080"/>
        </w:tabs>
        <w:adjustRightInd w:val="0"/>
        <w:snapToGrid w:val="0"/>
        <w:spacing w:line="560" w:lineRule="exact"/>
        <w:rPr>
          <w:rFonts w:ascii="仿宋" w:hAnsi="仿宋" w:eastAsia="仿宋"/>
          <w:b/>
          <w:bCs/>
          <w:sz w:val="32"/>
          <w:szCs w:val="32"/>
        </w:rPr>
      </w:pPr>
    </w:p>
    <w:p>
      <w:pPr>
        <w:tabs>
          <w:tab w:val="left" w:pos="900"/>
          <w:tab w:val="left" w:pos="1080"/>
        </w:tabs>
        <w:adjustRightInd w:val="0"/>
        <w:snapToGrid w:val="0"/>
        <w:spacing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申报条件和申报材料</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第七条</w:t>
      </w:r>
      <w:r>
        <w:rPr>
          <w:rFonts w:hint="eastAsia" w:ascii="仿宋" w:hAnsi="仿宋" w:eastAsia="仿宋"/>
          <w:b/>
          <w:sz w:val="32"/>
          <w:szCs w:val="32"/>
        </w:rPr>
        <w:t xml:space="preserve"> </w:t>
      </w:r>
      <w:r>
        <w:rPr>
          <w:rFonts w:hint="eastAsia" w:ascii="仿宋" w:hAnsi="仿宋" w:eastAsia="仿宋"/>
          <w:sz w:val="32"/>
          <w:szCs w:val="32"/>
        </w:rPr>
        <w:t>申报条件</w:t>
      </w:r>
    </w:p>
    <w:p>
      <w:pPr>
        <w:pStyle w:val="10"/>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（一）已按规定组建QC小组，注册登记课题；</w:t>
      </w:r>
    </w:p>
    <w:p>
      <w:pPr>
        <w:pStyle w:val="10"/>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（二）小组活动效果显著，具有科技含量和较高的推广应用价值，取得了一定的经济社会效益；</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（三）活动结束日期与报名截止日期的时间间隔不超过两年；</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（四）小组成员人数在10人以内；</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（五）同一小组成果往年已申报过的不能重复申报。</w:t>
      </w:r>
    </w:p>
    <w:p>
      <w:pPr>
        <w:adjustRightInd w:val="0"/>
        <w:snapToGrid w:val="0"/>
        <w:spacing w:line="560" w:lineRule="exact"/>
        <w:ind w:firstLine="645"/>
        <w:rPr>
          <w:rFonts w:ascii="仿宋" w:hAnsi="仿宋" w:eastAsia="仿宋"/>
          <w:sz w:val="32"/>
          <w:szCs w:val="32"/>
        </w:rPr>
      </w:pPr>
      <w:r>
        <w:rPr>
          <w:rFonts w:hint="eastAsia" w:ascii="黑体" w:hAnsi="黑体" w:eastAsia="黑体" w:cs="黑体"/>
          <w:b w:val="0"/>
          <w:bCs/>
          <w:sz w:val="32"/>
          <w:szCs w:val="32"/>
        </w:rPr>
        <w:t>第八条</w:t>
      </w:r>
      <w:r>
        <w:rPr>
          <w:rFonts w:hint="eastAsia" w:ascii="仿宋" w:hAnsi="仿宋" w:eastAsia="仿宋"/>
          <w:b/>
          <w:sz w:val="32"/>
          <w:szCs w:val="32"/>
        </w:rPr>
        <w:t xml:space="preserve"> </w:t>
      </w:r>
      <w:r>
        <w:rPr>
          <w:rFonts w:hint="eastAsia" w:ascii="仿宋" w:hAnsi="仿宋" w:eastAsia="仿宋"/>
          <w:sz w:val="32"/>
          <w:szCs w:val="32"/>
        </w:rPr>
        <w:t>申报材料</w:t>
      </w:r>
    </w:p>
    <w:p>
      <w:pPr>
        <w:snapToGrid w:val="0"/>
        <w:spacing w:line="240" w:lineRule="atLeast"/>
        <w:ind w:firstLine="640" w:firstLineChars="200"/>
        <w:rPr>
          <w:rFonts w:ascii="仿宋" w:hAnsi="仿宋" w:eastAsia="仿宋"/>
          <w:b/>
          <w:bCs/>
          <w:sz w:val="32"/>
          <w:szCs w:val="32"/>
        </w:rPr>
      </w:pPr>
      <w:r>
        <w:rPr>
          <w:rFonts w:hint="eastAsia" w:ascii="仿宋" w:hAnsi="仿宋" w:eastAsia="仿宋"/>
          <w:sz w:val="32"/>
          <w:szCs w:val="32"/>
        </w:rPr>
        <w:t>（一）</w:t>
      </w:r>
      <w:r>
        <w:rPr>
          <w:rFonts w:hint="eastAsia" w:ascii="仿宋" w:hAnsi="仿宋" w:eastAsia="仿宋"/>
          <w:bCs/>
          <w:sz w:val="32"/>
          <w:szCs w:val="32"/>
        </w:rPr>
        <w:t>申报成果目录表</w:t>
      </w:r>
      <w:r>
        <w:rPr>
          <w:rFonts w:hint="eastAsia" w:ascii="仿宋" w:hAnsi="仿宋" w:eastAsia="仿宋"/>
          <w:sz w:val="32"/>
          <w:szCs w:val="32"/>
        </w:rPr>
        <w:t>（附件1）；</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（二）海南省工程建设QC小组活动成果报告单（附件2）；</w:t>
      </w:r>
    </w:p>
    <w:p>
      <w:pPr>
        <w:adjustRightInd w:val="0"/>
        <w:snapToGrid w:val="0"/>
        <w:spacing w:line="560" w:lineRule="exact"/>
        <w:ind w:firstLine="645"/>
        <w:rPr>
          <w:rFonts w:ascii="仿宋" w:hAnsi="仿宋" w:eastAsia="仿宋" w:cs="仿宋"/>
          <w:color w:val="FF0000"/>
          <w:kern w:val="0"/>
          <w:sz w:val="32"/>
          <w:szCs w:val="32"/>
          <w:lang w:val="zh-CN"/>
        </w:rPr>
      </w:pPr>
      <w:r>
        <w:rPr>
          <w:rFonts w:hint="eastAsia" w:ascii="仿宋" w:hAnsi="仿宋" w:eastAsia="仿宋"/>
          <w:sz w:val="32"/>
          <w:szCs w:val="32"/>
        </w:rPr>
        <w:t>（三）</w:t>
      </w:r>
      <w:r>
        <w:rPr>
          <w:rFonts w:hint="eastAsia" w:ascii="仿宋" w:hAnsi="仿宋" w:eastAsia="仿宋" w:cs="仿宋"/>
          <w:kern w:val="0"/>
          <w:sz w:val="32"/>
          <w:szCs w:val="32"/>
          <w:lang w:val="zh-CN"/>
        </w:rPr>
        <w:t>课题成果资料评价表</w:t>
      </w:r>
      <w:r>
        <w:rPr>
          <w:rFonts w:hint="eastAsia" w:ascii="仿宋" w:hAnsi="仿宋" w:eastAsia="仿宋"/>
          <w:sz w:val="32"/>
          <w:szCs w:val="32"/>
        </w:rPr>
        <w:t>（附件3、附件4）；</w:t>
      </w:r>
      <w:r>
        <w:rPr>
          <w:rFonts w:hint="eastAsia" w:ascii="仿宋" w:hAnsi="仿宋" w:eastAsia="仿宋" w:cs="仿宋"/>
          <w:kern w:val="0"/>
          <w:sz w:val="32"/>
          <w:szCs w:val="32"/>
          <w:lang w:val="zh-CN"/>
        </w:rPr>
        <w:t xml:space="preserve">   </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（四）QC小组活动成果资料（ word 版和现场发布PPT）；</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申报资料不齐全、不符合要求或逾期申报的QC小组活动成果，海南建筑业协会有权拒绝申报。</w:t>
      </w:r>
    </w:p>
    <w:p>
      <w:pPr>
        <w:adjustRightInd w:val="0"/>
        <w:snapToGrid w:val="0"/>
        <w:spacing w:line="560" w:lineRule="exact"/>
        <w:ind w:firstLine="645"/>
        <w:rPr>
          <w:rFonts w:ascii="仿宋" w:hAnsi="仿宋" w:eastAsia="仿宋"/>
          <w:b/>
          <w:bCs/>
          <w:sz w:val="32"/>
          <w:szCs w:val="32"/>
        </w:rPr>
      </w:pPr>
    </w:p>
    <w:p>
      <w:pPr>
        <w:tabs>
          <w:tab w:val="left" w:pos="900"/>
          <w:tab w:val="left" w:pos="1080"/>
        </w:tabs>
        <w:adjustRightInd w:val="0"/>
        <w:snapToGrid w:val="0"/>
        <w:spacing w:line="560" w:lineRule="exact"/>
        <w:jc w:val="center"/>
        <w:rPr>
          <w:rFonts w:ascii="黑体" w:hAnsi="黑体" w:eastAsia="黑体"/>
          <w:bCs/>
          <w:sz w:val="32"/>
          <w:szCs w:val="32"/>
        </w:rPr>
      </w:pPr>
      <w:r>
        <w:rPr>
          <w:rFonts w:hint="eastAsia" w:ascii="黑体" w:hAnsi="黑体" w:eastAsia="黑体" w:cs="黑体"/>
          <w:b w:val="0"/>
          <w:bCs/>
          <w:sz w:val="32"/>
          <w:szCs w:val="32"/>
        </w:rPr>
        <w:t>第三章 评审程序</w:t>
      </w:r>
    </w:p>
    <w:p>
      <w:pPr>
        <w:adjustRightInd w:val="0"/>
        <w:snapToGrid w:val="0"/>
        <w:spacing w:line="560" w:lineRule="exact"/>
        <w:ind w:firstLine="640" w:firstLineChars="200"/>
        <w:jc w:val="left"/>
        <w:rPr>
          <w:rFonts w:ascii="仿宋" w:hAnsi="仿宋" w:eastAsia="仿宋"/>
          <w:sz w:val="32"/>
          <w:szCs w:val="32"/>
        </w:rPr>
      </w:pPr>
      <w:r>
        <w:rPr>
          <w:rFonts w:hint="eastAsia" w:ascii="黑体" w:hAnsi="黑体" w:eastAsia="黑体" w:cs="黑体"/>
          <w:b w:val="0"/>
          <w:bCs/>
          <w:sz w:val="32"/>
          <w:szCs w:val="32"/>
        </w:rPr>
        <w:t>第九条</w:t>
      </w:r>
      <w:r>
        <w:rPr>
          <w:rFonts w:hint="eastAsia" w:ascii="仿宋" w:hAnsi="仿宋" w:eastAsia="仿宋"/>
          <w:b/>
          <w:bCs/>
          <w:sz w:val="32"/>
          <w:szCs w:val="32"/>
        </w:rPr>
        <w:t xml:space="preserve"> </w:t>
      </w:r>
      <w:r>
        <w:rPr>
          <w:rFonts w:hint="eastAsia" w:ascii="仿宋" w:hAnsi="仿宋" w:eastAsia="仿宋"/>
          <w:sz w:val="32"/>
          <w:szCs w:val="32"/>
        </w:rPr>
        <w:t>参加QC小组评审活动须经过报名、资料审核、成果材料评审和发表评审等四个环节：</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（一）报名：QC小组评审活动应遵循自愿原则进行报名；</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（二）资料审核：审核材料的合规性、完整性，不符合要求的予以淘汰；</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（三）成果材料评审：海南省建筑业协会组织评审专家组按照《问题解决型课题成果资料评价表》及《创新型课题成果资料评价表》对活动成果内容进行评审；</w:t>
      </w:r>
    </w:p>
    <w:p>
      <w:pPr>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（四）发表评审：海南省建筑业协会组织召开工程建设QC小组活动成果发表会，各QC小组派成员代表按照报名时提供的PPT进行成果发表，评审组按照发表评分标准进行评审；</w:t>
      </w:r>
    </w:p>
    <w:p>
      <w:pPr>
        <w:adjustRightInd w:val="0"/>
        <w:snapToGrid w:val="0"/>
        <w:spacing w:line="560" w:lineRule="exact"/>
        <w:ind w:firstLine="640" w:firstLineChars="200"/>
        <w:jc w:val="left"/>
        <w:rPr>
          <w:rFonts w:ascii="仿宋" w:hAnsi="仿宋" w:eastAsia="仿宋"/>
          <w:sz w:val="32"/>
          <w:szCs w:val="32"/>
        </w:rPr>
      </w:pPr>
      <w:r>
        <w:rPr>
          <w:rFonts w:hint="eastAsia" w:ascii="黑体" w:hAnsi="黑体" w:eastAsia="黑体" w:cs="黑体"/>
          <w:b w:val="0"/>
          <w:bCs/>
          <w:sz w:val="32"/>
          <w:szCs w:val="32"/>
        </w:rPr>
        <w:t>第十条</w:t>
      </w:r>
      <w:r>
        <w:rPr>
          <w:rFonts w:hint="eastAsia" w:ascii="仿宋" w:hAnsi="仿宋" w:eastAsia="仿宋"/>
          <w:b/>
          <w:bCs/>
          <w:sz w:val="32"/>
          <w:szCs w:val="32"/>
        </w:rPr>
        <w:t xml:space="preserve"> </w:t>
      </w:r>
      <w:r>
        <w:rPr>
          <w:rFonts w:hint="eastAsia" w:ascii="仿宋" w:hAnsi="仿宋" w:eastAsia="仿宋"/>
          <w:sz w:val="32"/>
          <w:szCs w:val="32"/>
        </w:rPr>
        <w:t>成果发表人员必须为小组成员，没有进行成果发表或未按要求完成发表的小组，视同放弃。</w:t>
      </w:r>
    </w:p>
    <w:p>
      <w:pPr>
        <w:adjustRightInd w:val="0"/>
        <w:snapToGrid w:val="0"/>
        <w:spacing w:line="560" w:lineRule="exact"/>
        <w:ind w:firstLine="640" w:firstLineChars="200"/>
        <w:jc w:val="left"/>
        <w:rPr>
          <w:rFonts w:ascii="仿宋" w:hAnsi="仿宋" w:eastAsia="仿宋"/>
          <w:sz w:val="32"/>
          <w:szCs w:val="32"/>
        </w:rPr>
      </w:pPr>
    </w:p>
    <w:p>
      <w:pPr>
        <w:adjustRightInd w:val="0"/>
        <w:snapToGrid w:val="0"/>
        <w:spacing w:line="560" w:lineRule="exact"/>
        <w:ind w:firstLine="2880" w:firstLineChars="900"/>
        <w:jc w:val="left"/>
        <w:rPr>
          <w:rFonts w:ascii="黑体" w:hAnsi="黑体" w:eastAsia="黑体"/>
          <w:bCs/>
          <w:sz w:val="32"/>
          <w:szCs w:val="32"/>
        </w:rPr>
      </w:pPr>
      <w:r>
        <w:rPr>
          <w:rFonts w:hint="eastAsia" w:ascii="黑体" w:hAnsi="黑体" w:eastAsia="黑体" w:cs="黑体"/>
          <w:b w:val="0"/>
          <w:bCs/>
          <w:sz w:val="32"/>
          <w:szCs w:val="32"/>
        </w:rPr>
        <w:t>第四章 评审标准及奖项设置</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第十一条</w:t>
      </w:r>
      <w:r>
        <w:rPr>
          <w:rFonts w:hint="eastAsia" w:ascii="仿宋" w:hAnsi="仿宋" w:eastAsia="仿宋"/>
          <w:b/>
          <w:bCs/>
          <w:sz w:val="32"/>
          <w:szCs w:val="32"/>
        </w:rPr>
        <w:t xml:space="preserve"> </w:t>
      </w:r>
      <w:r>
        <w:rPr>
          <w:rFonts w:hint="eastAsia" w:ascii="仿宋" w:hAnsi="仿宋" w:eastAsia="仿宋"/>
          <w:sz w:val="32"/>
          <w:szCs w:val="32"/>
        </w:rPr>
        <w:t>评审贯彻执行《质量管理小组活动准则》（中质协T/CAQ10201）最新标准。</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第十二条</w:t>
      </w:r>
      <w:r>
        <w:rPr>
          <w:rFonts w:hint="eastAsia" w:ascii="仿宋" w:hAnsi="仿宋" w:eastAsia="仿宋"/>
          <w:b/>
          <w:bCs/>
          <w:sz w:val="32"/>
          <w:szCs w:val="32"/>
        </w:rPr>
        <w:t xml:space="preserve"> </w:t>
      </w:r>
      <w:r>
        <w:rPr>
          <w:rFonts w:hint="eastAsia" w:ascii="仿宋" w:hAnsi="仿宋" w:eastAsia="仿宋"/>
          <w:sz w:val="32"/>
          <w:szCs w:val="32"/>
        </w:rPr>
        <w:t>海南省工程建设QC小组活动成果评审设立一、二、三等奖，由海南省建筑业协会审定，最终获奖数量依据本年度竞赛情况确定。</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第十三条</w:t>
      </w:r>
      <w:r>
        <w:rPr>
          <w:rFonts w:hint="eastAsia" w:ascii="仿宋" w:hAnsi="仿宋" w:eastAsia="仿宋"/>
          <w:b/>
          <w:bCs/>
          <w:sz w:val="32"/>
          <w:szCs w:val="32"/>
        </w:rPr>
        <w:t xml:space="preserve"> </w:t>
      </w:r>
      <w:r>
        <w:rPr>
          <w:rFonts w:hint="eastAsia" w:ascii="仿宋" w:hAnsi="仿宋" w:eastAsia="仿宋"/>
          <w:sz w:val="32"/>
          <w:szCs w:val="32"/>
        </w:rPr>
        <w:t>评审严格按“评审标准”对QC 小组活动的真实性、科学性、有效性、先进性和创新性进行综合评价。</w:t>
      </w:r>
    </w:p>
    <w:p>
      <w:pPr>
        <w:pStyle w:val="13"/>
        <w:numPr>
          <w:ilvl w:val="1"/>
          <w:numId w:val="0"/>
        </w:numPr>
        <w:ind w:left="560"/>
        <w:rPr>
          <w:rFonts w:ascii="仿宋" w:hAnsi="仿宋" w:eastAsia="仿宋"/>
          <w:sz w:val="32"/>
          <w:szCs w:val="32"/>
        </w:rPr>
      </w:pPr>
      <w:r>
        <w:rPr>
          <w:rFonts w:hint="eastAsia" w:ascii="黑体" w:hAnsi="黑体" w:eastAsia="黑体" w:cs="黑体"/>
          <w:b w:val="0"/>
          <w:bCs/>
          <w:sz w:val="32"/>
          <w:szCs w:val="32"/>
        </w:rPr>
        <w:t>第十四条</w:t>
      </w:r>
      <w:r>
        <w:rPr>
          <w:rFonts w:hint="eastAsia" w:ascii="仿宋" w:hAnsi="仿宋" w:eastAsia="仿宋"/>
          <w:b/>
          <w:sz w:val="32"/>
          <w:szCs w:val="32"/>
        </w:rPr>
        <w:t xml:space="preserve"> </w:t>
      </w:r>
      <w:r>
        <w:rPr>
          <w:rFonts w:hint="eastAsia" w:ascii="仿宋" w:hAnsi="仿宋" w:eastAsia="仿宋"/>
          <w:sz w:val="32"/>
          <w:szCs w:val="32"/>
        </w:rPr>
        <w:t>成果评审方法如下：</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（一）评委按QC小组活动</w:t>
      </w:r>
      <w:r>
        <w:rPr>
          <w:rFonts w:hint="eastAsia" w:ascii="仿宋" w:hAnsi="仿宋" w:eastAsia="仿宋"/>
          <w:sz w:val="32"/>
          <w:szCs w:val="32"/>
          <w:lang w:val="zh-CN"/>
        </w:rPr>
        <w:t>“问题解决型”课题成果资料评价表</w:t>
      </w:r>
      <w:r>
        <w:rPr>
          <w:rFonts w:hint="eastAsia" w:ascii="仿宋" w:hAnsi="仿宋" w:eastAsia="仿宋"/>
          <w:sz w:val="32"/>
          <w:szCs w:val="32"/>
        </w:rPr>
        <w:t>（详见附件3）</w:t>
      </w:r>
      <w:r>
        <w:rPr>
          <w:rFonts w:hint="eastAsia" w:ascii="仿宋" w:hAnsi="仿宋" w:eastAsia="仿宋"/>
          <w:sz w:val="32"/>
          <w:szCs w:val="32"/>
          <w:lang w:val="zh-CN"/>
        </w:rPr>
        <w:t>、“创新型”课题成果资料评价表</w:t>
      </w:r>
      <w:r>
        <w:rPr>
          <w:rFonts w:hint="eastAsia" w:ascii="仿宋" w:hAnsi="仿宋" w:eastAsia="仿宋"/>
          <w:sz w:val="32"/>
          <w:szCs w:val="32"/>
        </w:rPr>
        <w:t>（详见附件4）对成果资料打分。</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（二）去除本组评委最高分和最低分，取其余分数的平均值作为成果资料评审成绩，成果资料评审成绩在成果发表评审结束前不公布。</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（三）成果发表评审在QC小组成果交流会上进行，参加发表评审的QC小组成果确定方式如下：</w:t>
      </w:r>
    </w:p>
    <w:p>
      <w:pPr>
        <w:tabs>
          <w:tab w:val="left" w:pos="900"/>
          <w:tab w:val="left" w:pos="1080"/>
        </w:tabs>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1.申报单位自主</w:t>
      </w:r>
      <w:r>
        <w:rPr>
          <w:rFonts w:hint="eastAsia" w:ascii="仿宋" w:hAnsi="仿宋" w:eastAsia="仿宋"/>
          <w:sz w:val="32"/>
          <w:szCs w:val="32"/>
          <w:lang w:val="en-US" w:eastAsia="zh-CN"/>
        </w:rPr>
        <w:t>选择</w:t>
      </w:r>
      <w:r>
        <w:rPr>
          <w:rFonts w:hint="eastAsia" w:ascii="仿宋" w:hAnsi="仿宋" w:eastAsia="仿宋"/>
          <w:sz w:val="32"/>
          <w:szCs w:val="32"/>
        </w:rPr>
        <w:t>参加发表</w:t>
      </w:r>
      <w:r>
        <w:rPr>
          <w:rFonts w:hint="eastAsia" w:ascii="仿宋" w:hAnsi="仿宋" w:eastAsia="仿宋"/>
          <w:sz w:val="32"/>
          <w:szCs w:val="32"/>
          <w:lang w:val="en-US" w:eastAsia="zh-CN"/>
        </w:rPr>
        <w:t>或交流，</w:t>
      </w:r>
      <w:r>
        <w:rPr>
          <w:rFonts w:hint="eastAsia" w:ascii="仿宋" w:hAnsi="仿宋" w:eastAsia="仿宋"/>
          <w:sz w:val="32"/>
          <w:szCs w:val="32"/>
        </w:rPr>
        <w:t>评审的成果由各单位在提交成果申报资料时在《申报成果汇总表》和《</w:t>
      </w:r>
      <w:r>
        <w:rPr>
          <w:rFonts w:hint="eastAsia" w:ascii="仿宋" w:hAnsi="仿宋" w:eastAsia="仿宋"/>
          <w:sz w:val="32"/>
          <w:szCs w:val="32"/>
          <w:lang w:val="en-US" w:eastAsia="zh-CN"/>
        </w:rPr>
        <w:t>报名表</w:t>
      </w:r>
      <w:r>
        <w:rPr>
          <w:rFonts w:hint="eastAsia" w:ascii="仿宋" w:hAnsi="仿宋" w:eastAsia="仿宋"/>
          <w:sz w:val="32"/>
          <w:szCs w:val="32"/>
        </w:rPr>
        <w:t>》中予以确认。</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对成果资料评审成绩排名在成果总数前10%以内的成果，如申报单位未自主推荐其参加发表评审的，由评审委员会推荐参加发表评审。如申报单位放弃该成果参加发表评审的，由评审委员会根据资料评审排名推荐其他成果参加。</w:t>
      </w:r>
      <w:bookmarkStart w:id="0" w:name="_GoBack"/>
      <w:bookmarkEnd w:id="0"/>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（四）成果发表评审方法如下：</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1.QC小组按通知时间参加成果交流会，并按指定程序抽签决定发表顺序。</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2.QC小组按《QC小组成果发表规则》以多媒体投影等方式发表成果。</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3.评委按QC小组活动成果发表评审标准进行评分。</w:t>
      </w:r>
    </w:p>
    <w:p>
      <w:pPr>
        <w:tabs>
          <w:tab w:val="left" w:pos="900"/>
          <w:tab w:val="left" w:pos="1080"/>
        </w:tabs>
        <w:adjustRightInd w:val="0"/>
        <w:snapToGrid w:val="0"/>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4.每个成果发表完毕后，公布上一个发表成果的评审总成绩。在总成绩中，资料评审成绩占80%，发表评审成绩占20%。</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5.成果排名和评审等级的确定</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（1）一类成果、二类成果、三类成果数量分别不超成果总数的15%、35%、</w:t>
      </w:r>
      <w:r>
        <w:rPr>
          <w:rFonts w:ascii="仿宋" w:hAnsi="仿宋" w:eastAsia="仿宋"/>
          <w:sz w:val="32"/>
          <w:szCs w:val="32"/>
        </w:rPr>
        <w:t>20</w:t>
      </w:r>
      <w:r>
        <w:rPr>
          <w:rFonts w:hint="eastAsia" w:ascii="仿宋" w:hAnsi="仿宋" w:eastAsia="仿宋"/>
          <w:sz w:val="32"/>
          <w:szCs w:val="32"/>
        </w:rPr>
        <w:t>%。</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（2）一类成果从参加发表评审的成果中产生，其排名由成果评审总成绩决定。</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（3）二类成果、三类成果根据资料评审成绩划分决定，资料评审成绩不排名、不另行公布。</w:t>
      </w:r>
    </w:p>
    <w:p>
      <w:pPr>
        <w:adjustRightInd w:val="0"/>
        <w:snapToGrid w:val="0"/>
        <w:spacing w:line="560" w:lineRule="exact"/>
        <w:ind w:firstLine="640" w:firstLineChars="200"/>
        <w:rPr>
          <w:rFonts w:ascii="仿宋" w:hAnsi="仿宋" w:eastAsia="仿宋"/>
          <w:sz w:val="32"/>
          <w:szCs w:val="32"/>
        </w:rPr>
      </w:pPr>
    </w:p>
    <w:p>
      <w:pPr>
        <w:tabs>
          <w:tab w:val="left" w:pos="900"/>
          <w:tab w:val="left" w:pos="1080"/>
        </w:tabs>
        <w:adjustRightInd w:val="0"/>
        <w:snapToGrid w:val="0"/>
        <w:spacing w:line="560" w:lineRule="exact"/>
        <w:jc w:val="center"/>
        <w:rPr>
          <w:rFonts w:ascii="黑体" w:hAnsi="黑体" w:eastAsia="黑体"/>
          <w:bCs/>
          <w:sz w:val="32"/>
          <w:szCs w:val="32"/>
        </w:rPr>
      </w:pPr>
      <w:r>
        <w:rPr>
          <w:rFonts w:hint="eastAsia" w:ascii="黑体" w:hAnsi="黑体" w:eastAsia="黑体" w:cs="黑体"/>
          <w:b w:val="0"/>
          <w:bCs/>
          <w:sz w:val="32"/>
          <w:szCs w:val="32"/>
        </w:rPr>
        <w:t>第五章 专家构成</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val="0"/>
          <w:sz w:val="32"/>
          <w:szCs w:val="32"/>
        </w:rPr>
        <w:t>第十五条</w:t>
      </w:r>
      <w:r>
        <w:rPr>
          <w:rFonts w:hint="eastAsia" w:ascii="仿宋" w:hAnsi="仿宋" w:eastAsia="仿宋"/>
          <w:b/>
          <w:bCs/>
          <w:sz w:val="32"/>
          <w:szCs w:val="32"/>
        </w:rPr>
        <w:t xml:space="preserve"> </w:t>
      </w:r>
      <w:r>
        <w:rPr>
          <w:rFonts w:hint="eastAsia" w:ascii="仿宋" w:hAnsi="仿宋" w:eastAsia="仿宋"/>
          <w:sz w:val="32"/>
          <w:szCs w:val="32"/>
        </w:rPr>
        <w:t>评审专家应具有五年以上质量管理及QC小组活动评审工作经历；中级以上职称；熟悉质量管理理论和方法，熟悉工程建设行业特点；取得国家级相关推进培训资格，并加入海南省工程建设QC小组活动专家库（以下简称“专家库”）。</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val="0"/>
          <w:sz w:val="32"/>
          <w:szCs w:val="32"/>
        </w:rPr>
        <w:t>第十六条</w:t>
      </w:r>
      <w:r>
        <w:rPr>
          <w:rFonts w:hint="eastAsia" w:ascii="仿宋" w:hAnsi="仿宋" w:eastAsia="仿宋"/>
          <w:b/>
          <w:bCs/>
          <w:sz w:val="32"/>
          <w:szCs w:val="32"/>
        </w:rPr>
        <w:t xml:space="preserve"> </w:t>
      </w:r>
      <w:r>
        <w:rPr>
          <w:rFonts w:hint="eastAsia" w:ascii="仿宋" w:hAnsi="仿宋" w:eastAsia="仿宋"/>
          <w:sz w:val="32"/>
          <w:szCs w:val="32"/>
        </w:rPr>
        <w:t>评审专家在专家库中随机抽取，每组设组长1人，组员不少于7人，分组评审的，每组评委不少于5人。</w:t>
      </w:r>
    </w:p>
    <w:p>
      <w:pPr>
        <w:adjustRightInd w:val="0"/>
        <w:snapToGrid w:val="0"/>
        <w:spacing w:line="560" w:lineRule="exact"/>
        <w:ind w:firstLine="640" w:firstLineChars="200"/>
        <w:rPr>
          <w:rFonts w:ascii="仿宋_GB2312" w:hAnsi="宋体"/>
          <w:sz w:val="32"/>
          <w:szCs w:val="32"/>
        </w:rPr>
      </w:pPr>
      <w:r>
        <w:rPr>
          <w:rFonts w:hint="eastAsia" w:ascii="黑体" w:hAnsi="黑体" w:eastAsia="黑体" w:cs="黑体"/>
          <w:b w:val="0"/>
          <w:bCs w:val="0"/>
          <w:sz w:val="32"/>
          <w:szCs w:val="32"/>
        </w:rPr>
        <w:t>第十七条</w:t>
      </w:r>
      <w:r>
        <w:rPr>
          <w:rFonts w:hint="eastAsia" w:ascii="仿宋" w:hAnsi="仿宋" w:eastAsia="仿宋"/>
          <w:sz w:val="32"/>
          <w:szCs w:val="32"/>
        </w:rPr>
        <w:t xml:space="preserve"> 评审前由海南省建筑业协会组织具有丰富经验的国家高级专家进行前期评审培训，培训内容为评分细则、标准。</w:t>
      </w:r>
    </w:p>
    <w:p>
      <w:pPr>
        <w:adjustRightInd w:val="0"/>
        <w:snapToGrid w:val="0"/>
        <w:spacing w:line="560" w:lineRule="exact"/>
        <w:ind w:firstLine="640" w:firstLineChars="200"/>
        <w:rPr>
          <w:rFonts w:ascii="仿宋" w:hAnsi="仿宋" w:eastAsia="仿宋"/>
          <w:sz w:val="32"/>
          <w:szCs w:val="32"/>
        </w:rPr>
      </w:pPr>
    </w:p>
    <w:p>
      <w:pPr>
        <w:pStyle w:val="12"/>
        <w:numPr>
          <w:ilvl w:val="0"/>
          <w:numId w:val="0"/>
        </w:numPr>
        <w:jc w:val="center"/>
        <w:rPr>
          <w:rFonts w:ascii="黑体" w:hAnsi="黑体" w:eastAsia="黑体"/>
          <w:sz w:val="32"/>
          <w:szCs w:val="32"/>
        </w:rPr>
      </w:pPr>
      <w:r>
        <w:rPr>
          <w:rFonts w:hint="eastAsia" w:ascii="黑体" w:hAnsi="黑体" w:eastAsia="黑体" w:cs="黑体"/>
          <w:b w:val="0"/>
          <w:bCs/>
          <w:sz w:val="32"/>
          <w:szCs w:val="32"/>
        </w:rPr>
        <w:t>第六章 表彰和奖励</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val="0"/>
          <w:sz w:val="32"/>
          <w:szCs w:val="32"/>
        </w:rPr>
        <w:t>第十八条</w:t>
      </w:r>
      <w:r>
        <w:rPr>
          <w:rFonts w:hint="eastAsia" w:ascii="仿宋" w:hAnsi="仿宋" w:eastAsia="仿宋"/>
          <w:sz w:val="32"/>
          <w:szCs w:val="32"/>
        </w:rPr>
        <w:t xml:space="preserve"> 获得一类成果、二类成果和三类成果的小组，由省建筑业协会发文通报表扬，颁发证书</w:t>
      </w:r>
      <w:r>
        <w:rPr>
          <w:rFonts w:hint="eastAsia" w:ascii="仿宋" w:hAnsi="仿宋" w:eastAsia="仿宋"/>
          <w:sz w:val="32"/>
          <w:szCs w:val="32"/>
          <w:lang w:eastAsia="zh-CN"/>
        </w:rPr>
        <w:t>。</w:t>
      </w:r>
      <w:r>
        <w:rPr>
          <w:rFonts w:hint="eastAsia" w:ascii="仿宋" w:hAnsi="仿宋" w:eastAsia="仿宋"/>
          <w:sz w:val="32"/>
          <w:szCs w:val="32"/>
          <w:lang w:val="en-US" w:eastAsia="zh-CN"/>
        </w:rPr>
        <w:t>其中，二类成果及以上</w:t>
      </w:r>
      <w:r>
        <w:rPr>
          <w:rFonts w:hint="eastAsia" w:ascii="仿宋" w:hAnsi="仿宋" w:eastAsia="仿宋"/>
          <w:sz w:val="32"/>
          <w:szCs w:val="32"/>
        </w:rPr>
        <w:t>择优推荐参评国家级工程建设QC活动。</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val="0"/>
          <w:sz w:val="32"/>
          <w:szCs w:val="32"/>
        </w:rPr>
        <w:t>第十九条</w:t>
      </w:r>
      <w:r>
        <w:rPr>
          <w:rFonts w:hint="eastAsia" w:ascii="仿宋" w:hAnsi="仿宋" w:eastAsia="仿宋"/>
          <w:sz w:val="32"/>
          <w:szCs w:val="32"/>
        </w:rPr>
        <w:t xml:space="preserve">  海南省工程建设优秀QC小组所在企业或工程项目部，在申报企业信用评价、优质工程或在相关业绩考核时可适当加分。</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val="0"/>
          <w:sz w:val="32"/>
          <w:szCs w:val="32"/>
        </w:rPr>
        <w:t>第二十条</w:t>
      </w:r>
      <w:r>
        <w:rPr>
          <w:rFonts w:hint="eastAsia" w:ascii="仿宋" w:hAnsi="仿宋" w:eastAsia="仿宋"/>
          <w:sz w:val="32"/>
          <w:szCs w:val="32"/>
        </w:rPr>
        <w:t xml:space="preserve">  </w:t>
      </w:r>
      <w:r>
        <w:rPr>
          <w:rFonts w:hint="eastAsia" w:ascii="仿宋_GB2312" w:hAnsi="宋体" w:eastAsia="仿宋_GB2312" w:cs="仿宋_GB2312"/>
          <w:kern w:val="0"/>
          <w:sz w:val="32"/>
          <w:szCs w:val="32"/>
        </w:rPr>
        <w:t>各单位可</w:t>
      </w:r>
      <w:r>
        <w:rPr>
          <w:rFonts w:hint="eastAsia" w:ascii="仿宋_GB2312" w:hAnsi="宋体" w:eastAsia="仿宋_GB2312" w:cs="仿宋_GB2312"/>
          <w:sz w:val="32"/>
          <w:szCs w:val="32"/>
        </w:rPr>
        <w:t>依据国家有关规定并结合本单位实际情况，向持续开展活动、成效显著的质量管理小组和个人给予相应的奖励。</w:t>
      </w:r>
    </w:p>
    <w:p>
      <w:pPr>
        <w:tabs>
          <w:tab w:val="left" w:pos="900"/>
          <w:tab w:val="left" w:pos="1080"/>
        </w:tabs>
        <w:adjustRightInd w:val="0"/>
        <w:snapToGrid w:val="0"/>
        <w:spacing w:line="560" w:lineRule="exact"/>
        <w:ind w:firstLine="640" w:firstLineChars="200"/>
        <w:rPr>
          <w:rFonts w:ascii="仿宋" w:hAnsi="仿宋" w:eastAsia="仿宋"/>
          <w:sz w:val="32"/>
          <w:szCs w:val="32"/>
        </w:rPr>
      </w:pPr>
    </w:p>
    <w:p>
      <w:pPr>
        <w:tabs>
          <w:tab w:val="left" w:pos="900"/>
          <w:tab w:val="left" w:pos="1080"/>
        </w:tabs>
        <w:adjustRightInd w:val="0"/>
        <w:snapToGrid w:val="0"/>
        <w:spacing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第七章 活动纪律</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第二十一条</w:t>
      </w:r>
      <w:r>
        <w:rPr>
          <w:rFonts w:hint="eastAsia" w:ascii="仿宋" w:hAnsi="仿宋" w:eastAsia="仿宋"/>
          <w:b/>
          <w:sz w:val="32"/>
          <w:szCs w:val="32"/>
        </w:rPr>
        <w:t xml:space="preserve"> </w:t>
      </w:r>
      <w:r>
        <w:rPr>
          <w:rFonts w:hint="eastAsia" w:ascii="仿宋" w:hAnsi="仿宋" w:eastAsia="仿宋"/>
          <w:sz w:val="32"/>
          <w:szCs w:val="32"/>
        </w:rPr>
        <w:t xml:space="preserve"> 对弄虚作假或抄袭套用他人成果的小组及骗取荣誉者，经查实后，取消其荣誉，并视情节轻重给予申报单位警示或三年内不得申报海南省工程建设优秀QC 小组。</w:t>
      </w:r>
    </w:p>
    <w:p>
      <w:pPr>
        <w:tabs>
          <w:tab w:val="left" w:pos="900"/>
          <w:tab w:val="left" w:pos="1080"/>
        </w:tabs>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b w:val="0"/>
          <w:bCs/>
          <w:sz w:val="32"/>
          <w:szCs w:val="32"/>
        </w:rPr>
        <w:t>第二十二条</w:t>
      </w:r>
      <w:r>
        <w:rPr>
          <w:rFonts w:hint="eastAsia" w:ascii="仿宋" w:hAnsi="仿宋" w:eastAsia="仿宋"/>
          <w:sz w:val="32"/>
          <w:szCs w:val="32"/>
        </w:rPr>
        <w:t xml:space="preserve">  海南省工程建设优秀QC小组评审委员会专家及有关人员，要秉公办事，廉洁自律，对违反相关规定者，将视情况进行批评教育或将其从专家库内除名。</w:t>
      </w:r>
    </w:p>
    <w:p>
      <w:pPr>
        <w:tabs>
          <w:tab w:val="left" w:pos="900"/>
          <w:tab w:val="left" w:pos="1080"/>
        </w:tabs>
        <w:adjustRightInd w:val="0"/>
        <w:snapToGrid w:val="0"/>
        <w:spacing w:line="560" w:lineRule="exact"/>
        <w:ind w:firstLine="640" w:firstLineChars="200"/>
        <w:rPr>
          <w:rFonts w:ascii="仿宋" w:hAnsi="仿宋" w:eastAsia="仿宋"/>
          <w:sz w:val="32"/>
          <w:szCs w:val="32"/>
        </w:rPr>
      </w:pPr>
    </w:p>
    <w:p>
      <w:pPr>
        <w:tabs>
          <w:tab w:val="left" w:pos="900"/>
          <w:tab w:val="left" w:pos="1080"/>
        </w:tabs>
        <w:adjustRightInd w:val="0"/>
        <w:snapToGrid w:val="0"/>
        <w:spacing w:line="560" w:lineRule="exact"/>
        <w:jc w:val="center"/>
        <w:rPr>
          <w:rFonts w:ascii="黑体" w:hAnsi="黑体" w:eastAsia="黑体"/>
          <w:bCs/>
          <w:sz w:val="32"/>
          <w:szCs w:val="32"/>
        </w:rPr>
      </w:pPr>
      <w:r>
        <w:rPr>
          <w:rFonts w:hint="eastAsia" w:ascii="黑体" w:hAnsi="黑体" w:eastAsia="黑体" w:cs="黑体"/>
          <w:b w:val="0"/>
          <w:bCs/>
          <w:sz w:val="32"/>
          <w:szCs w:val="32"/>
        </w:rPr>
        <w:t>第八章  附则</w:t>
      </w:r>
    </w:p>
    <w:p>
      <w:pPr>
        <w:adjustRightInd w:val="0"/>
        <w:snapToGrid w:val="0"/>
        <w:spacing w:line="560" w:lineRule="exact"/>
        <w:ind w:firstLine="645"/>
        <w:rPr>
          <w:rFonts w:ascii="仿宋" w:hAnsi="仿宋" w:eastAsia="仿宋"/>
          <w:sz w:val="32"/>
          <w:szCs w:val="32"/>
        </w:rPr>
      </w:pPr>
      <w:r>
        <w:rPr>
          <w:rFonts w:hint="eastAsia" w:ascii="黑体" w:hAnsi="黑体" w:eastAsia="黑体" w:cs="黑体"/>
          <w:b w:val="0"/>
          <w:bCs/>
          <w:sz w:val="32"/>
          <w:szCs w:val="32"/>
        </w:rPr>
        <w:t>第二十三条</w:t>
      </w:r>
      <w:r>
        <w:rPr>
          <w:rFonts w:hint="eastAsia" w:ascii="仿宋" w:hAnsi="仿宋" w:eastAsia="仿宋"/>
          <w:b/>
          <w:sz w:val="32"/>
          <w:szCs w:val="32"/>
        </w:rPr>
        <w:t xml:space="preserve">  </w:t>
      </w:r>
      <w:r>
        <w:rPr>
          <w:rFonts w:hint="eastAsia" w:ascii="仿宋" w:hAnsi="仿宋" w:eastAsia="仿宋"/>
          <w:sz w:val="32"/>
          <w:szCs w:val="32"/>
        </w:rPr>
        <w:t>本办法自公布之日起施行。</w:t>
      </w:r>
    </w:p>
    <w:p>
      <w:pPr>
        <w:adjustRightInd w:val="0"/>
        <w:snapToGrid w:val="0"/>
        <w:spacing w:line="560" w:lineRule="exact"/>
        <w:ind w:firstLine="645"/>
        <w:rPr>
          <w:rFonts w:ascii="仿宋" w:hAnsi="仿宋" w:eastAsia="仿宋"/>
          <w:sz w:val="32"/>
          <w:szCs w:val="32"/>
        </w:rPr>
      </w:pPr>
      <w:r>
        <w:rPr>
          <w:rFonts w:hint="eastAsia" w:ascii="黑体" w:hAnsi="黑体" w:eastAsia="黑体" w:cs="黑体"/>
          <w:b w:val="0"/>
          <w:bCs/>
          <w:sz w:val="32"/>
          <w:szCs w:val="32"/>
        </w:rPr>
        <w:t>第二十四条</w:t>
      </w:r>
      <w:r>
        <w:rPr>
          <w:rFonts w:hint="eastAsia" w:ascii="仿宋" w:hAnsi="仿宋" w:eastAsia="仿宋"/>
          <w:b/>
          <w:sz w:val="32"/>
          <w:szCs w:val="32"/>
        </w:rPr>
        <w:t xml:space="preserve">  </w:t>
      </w:r>
      <w:r>
        <w:rPr>
          <w:rFonts w:hint="eastAsia" w:ascii="仿宋" w:hAnsi="仿宋" w:eastAsia="仿宋"/>
          <w:sz w:val="32"/>
          <w:szCs w:val="32"/>
        </w:rPr>
        <w:t>本办法由海南省建筑业协会负责解释。</w:t>
      </w:r>
    </w:p>
    <w:p>
      <w:pPr>
        <w:adjustRightInd w:val="0"/>
        <w:snapToGrid w:val="0"/>
        <w:spacing w:line="560" w:lineRule="exact"/>
        <w:ind w:firstLine="645"/>
        <w:rPr>
          <w:rFonts w:ascii="仿宋" w:hAnsi="仿宋" w:eastAsia="仿宋"/>
          <w:sz w:val="30"/>
          <w:szCs w:val="30"/>
        </w:rPr>
      </w:pPr>
    </w:p>
    <w:p>
      <w:pPr>
        <w:snapToGrid w:val="0"/>
        <w:spacing w:line="348" w:lineRule="auto"/>
        <w:jc w:val="center"/>
        <w:rPr>
          <w:rFonts w:ascii="仿宋" w:hAnsi="仿宋" w:eastAsia="仿宋"/>
          <w:kern w:val="0"/>
          <w:sz w:val="32"/>
          <w:szCs w:val="32"/>
        </w:rPr>
      </w:pPr>
    </w:p>
    <w:p>
      <w:pPr>
        <w:snapToGrid w:val="0"/>
        <w:spacing w:line="348" w:lineRule="auto"/>
        <w:jc w:val="center"/>
        <w:rPr>
          <w:rFonts w:ascii="仿宋" w:hAnsi="仿宋" w:eastAsia="仿宋"/>
          <w:kern w:val="0"/>
          <w:sz w:val="32"/>
          <w:szCs w:val="32"/>
        </w:rPr>
      </w:pPr>
    </w:p>
    <w:p>
      <w:pPr>
        <w:snapToGrid w:val="0"/>
        <w:spacing w:line="348" w:lineRule="auto"/>
        <w:jc w:val="both"/>
        <w:rPr>
          <w:rFonts w:ascii="仿宋" w:hAnsi="仿宋" w:eastAsia="仿宋"/>
          <w:kern w:val="0"/>
          <w:sz w:val="32"/>
          <w:szCs w:val="32"/>
        </w:rPr>
        <w:sectPr>
          <w:pgSz w:w="11906" w:h="16838"/>
          <w:pgMar w:top="1440" w:right="1474" w:bottom="1134" w:left="1587" w:header="851" w:footer="595" w:gutter="0"/>
          <w:cols w:space="720" w:num="1"/>
          <w:docGrid w:type="lines" w:linePitch="312" w:charSpace="0"/>
        </w:sectPr>
      </w:pPr>
    </w:p>
    <w:p>
      <w:pPr>
        <w:pStyle w:val="10"/>
        <w:ind w:left="0" w:leftChars="0" w:firstLine="0" w:firstLineChars="0"/>
        <w:rPr>
          <w:rFonts w:ascii="仿宋" w:hAnsi="仿宋" w:eastAsia="仿宋"/>
          <w:sz w:val="28"/>
          <w:szCs w:val="28"/>
        </w:rPr>
      </w:pPr>
    </w:p>
    <w:sectPr>
      <w:pgSz w:w="11906" w:h="16838"/>
      <w:pgMar w:top="1440" w:right="1077"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60906"/>
    <w:multiLevelType w:val="multilevel"/>
    <w:tmpl w:val="79260906"/>
    <w:lvl w:ilvl="0" w:tentative="0">
      <w:start w:val="1"/>
      <w:numFmt w:val="decimal"/>
      <w:pStyle w:val="12"/>
      <w:suff w:val="nothing"/>
      <w:lvlText w:val="%1"/>
      <w:lvlJc w:val="left"/>
      <w:pPr>
        <w:ind w:left="567" w:hanging="567"/>
      </w:pPr>
      <w:rPr>
        <w:rFonts w:hint="eastAsia" w:eastAsia="仿宋_GB2312"/>
        <w:b w:val="0"/>
        <w:i w:val="0"/>
        <w:caps w:val="0"/>
        <w:strike w:val="0"/>
        <w:dstrike w:val="0"/>
        <w:vanish w:val="0"/>
        <w:sz w:val="32"/>
        <w:szCs w:val="32"/>
        <w:vertAlign w:val="baseline"/>
      </w:rPr>
    </w:lvl>
    <w:lvl w:ilvl="1" w:tentative="0">
      <w:start w:val="1"/>
      <w:numFmt w:val="decimal"/>
      <w:pStyle w:val="13"/>
      <w:suff w:val="nothing"/>
      <w:lvlText w:val="%1.%2　"/>
      <w:lvlJc w:val="left"/>
      <w:pPr>
        <w:ind w:left="0" w:firstLine="567"/>
      </w:pPr>
      <w:rPr>
        <w:rFonts w:hint="eastAsia" w:ascii="仿宋_GB2312" w:hAnsi="华文行楷" w:eastAsia="仿宋_GB2312"/>
        <w:b w:val="0"/>
        <w:i w:val="0"/>
        <w:sz w:val="32"/>
      </w:rPr>
    </w:lvl>
    <w:lvl w:ilvl="2" w:tentative="0">
      <w:start w:val="1"/>
      <w:numFmt w:val="decimal"/>
      <w:suff w:val="nothing"/>
      <w:lvlText w:val="%1.%3　"/>
      <w:lvlJc w:val="left"/>
      <w:pPr>
        <w:ind w:left="0" w:firstLine="567"/>
      </w:pPr>
      <w:rPr>
        <w:rFonts w:hint="eastAsia" w:ascii="仿宋_GB2312" w:hAnsi="华文行楷" w:eastAsia="仿宋_GB2312"/>
        <w:b w:val="0"/>
        <w:i w:val="0"/>
        <w:sz w:val="32"/>
      </w:rPr>
    </w:lvl>
    <w:lvl w:ilvl="3" w:tentative="0">
      <w:start w:val="1"/>
      <w:numFmt w:val="decimal"/>
      <w:suff w:val="nothing"/>
      <w:lvlText w:val="%1%2.0.%4　"/>
      <w:lvlJc w:val="left"/>
      <w:pPr>
        <w:ind w:left="105" w:firstLine="0"/>
      </w:pPr>
      <w:rPr>
        <w:rFonts w:hint="eastAsia" w:ascii="华文行楷" w:hAnsi="华文行楷" w:cs="华文行楷"/>
        <w:b w:val="0"/>
        <w:bCs w:val="0"/>
        <w:i w:val="0"/>
        <w:iCs w:val="0"/>
        <w:caps w:val="0"/>
        <w:smallCaps w:val="0"/>
        <w:strike w:val="0"/>
        <w:dstrike w:val="0"/>
        <w:vanish w:val="0"/>
        <w:spacing w:val="0"/>
        <w:kern w:val="0"/>
        <w:position w:val="0"/>
        <w:u w:val="none"/>
        <w:vertAlign w:val="baseline"/>
      </w:rPr>
    </w:lvl>
    <w:lvl w:ilvl="4" w:tentative="0">
      <w:start w:val="1"/>
      <w:numFmt w:val="decimal"/>
      <w:suff w:val="nothing"/>
      <w:lvlText w:val="%1%2.0.%4.%5　"/>
      <w:lvlJc w:val="left"/>
      <w:pPr>
        <w:ind w:left="735" w:firstLine="0"/>
      </w:pPr>
      <w:rPr>
        <w:rFonts w:hint="eastAsia" w:ascii="黑体" w:hAnsi="华文行楷" w:eastAsia="黑体"/>
        <w:b w:val="0"/>
        <w:i w:val="0"/>
        <w:sz w:val="21"/>
      </w:rPr>
    </w:lvl>
    <w:lvl w:ilvl="5" w:tentative="0">
      <w:start w:val="1"/>
      <w:numFmt w:val="decimal"/>
      <w:suff w:val="nothing"/>
      <w:lvlText w:val="%1%2.%3.%4.%5.%6　"/>
      <w:lvlJc w:val="left"/>
      <w:pPr>
        <w:ind w:left="0" w:firstLine="0"/>
      </w:pPr>
      <w:rPr>
        <w:rFonts w:hint="eastAsia" w:ascii="黑体" w:hAnsi="华文行楷" w:eastAsia="黑体"/>
        <w:b w:val="0"/>
        <w:i w:val="0"/>
        <w:sz w:val="21"/>
      </w:rPr>
    </w:lvl>
    <w:lvl w:ilvl="6" w:tentative="0">
      <w:start w:val="1"/>
      <w:numFmt w:val="decimal"/>
      <w:suff w:val="nothing"/>
      <w:lvlText w:val="%1%2.%3.%4.%5.%6.%7　"/>
      <w:lvlJc w:val="left"/>
      <w:pPr>
        <w:ind w:left="0" w:firstLine="0"/>
      </w:pPr>
      <w:rPr>
        <w:rFonts w:hint="eastAsia" w:ascii="黑体" w:hAnsi="华文行楷"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lmOWRlYmY0NDIyMzUxMzhlYzY5OGRhNTc4YzMyYzQifQ=="/>
  </w:docVars>
  <w:rsids>
    <w:rsidRoot w:val="00413DE5"/>
    <w:rsid w:val="00012EBB"/>
    <w:rsid w:val="000144E0"/>
    <w:rsid w:val="00035384"/>
    <w:rsid w:val="0007033F"/>
    <w:rsid w:val="00070859"/>
    <w:rsid w:val="0007332D"/>
    <w:rsid w:val="000817AB"/>
    <w:rsid w:val="000839E0"/>
    <w:rsid w:val="00086E16"/>
    <w:rsid w:val="000A2AFB"/>
    <w:rsid w:val="000A3A9B"/>
    <w:rsid w:val="000B469A"/>
    <w:rsid w:val="000C5435"/>
    <w:rsid w:val="00123F77"/>
    <w:rsid w:val="001421EB"/>
    <w:rsid w:val="001439AB"/>
    <w:rsid w:val="00147540"/>
    <w:rsid w:val="0014797E"/>
    <w:rsid w:val="001C256E"/>
    <w:rsid w:val="001D4CB3"/>
    <w:rsid w:val="00222390"/>
    <w:rsid w:val="00233D0D"/>
    <w:rsid w:val="002521C6"/>
    <w:rsid w:val="002752AB"/>
    <w:rsid w:val="002D1A76"/>
    <w:rsid w:val="002E1031"/>
    <w:rsid w:val="002F1727"/>
    <w:rsid w:val="002F7A84"/>
    <w:rsid w:val="002F7C35"/>
    <w:rsid w:val="0030589F"/>
    <w:rsid w:val="00322194"/>
    <w:rsid w:val="00331F40"/>
    <w:rsid w:val="00337599"/>
    <w:rsid w:val="0036520B"/>
    <w:rsid w:val="00371855"/>
    <w:rsid w:val="003940E1"/>
    <w:rsid w:val="00397CCD"/>
    <w:rsid w:val="003A3F97"/>
    <w:rsid w:val="003A54CA"/>
    <w:rsid w:val="003B5E69"/>
    <w:rsid w:val="003C0878"/>
    <w:rsid w:val="003C7105"/>
    <w:rsid w:val="003E115E"/>
    <w:rsid w:val="003E4553"/>
    <w:rsid w:val="003F6AC3"/>
    <w:rsid w:val="00405B32"/>
    <w:rsid w:val="00413DE5"/>
    <w:rsid w:val="00453766"/>
    <w:rsid w:val="00486302"/>
    <w:rsid w:val="004867EC"/>
    <w:rsid w:val="0048690F"/>
    <w:rsid w:val="00487F5C"/>
    <w:rsid w:val="00492F65"/>
    <w:rsid w:val="004B1492"/>
    <w:rsid w:val="004B2A73"/>
    <w:rsid w:val="00510528"/>
    <w:rsid w:val="00514457"/>
    <w:rsid w:val="00514CED"/>
    <w:rsid w:val="00541572"/>
    <w:rsid w:val="005505ED"/>
    <w:rsid w:val="00565854"/>
    <w:rsid w:val="00592806"/>
    <w:rsid w:val="00595E61"/>
    <w:rsid w:val="005B685A"/>
    <w:rsid w:val="005B6CDD"/>
    <w:rsid w:val="005C7A74"/>
    <w:rsid w:val="005E07C8"/>
    <w:rsid w:val="00631719"/>
    <w:rsid w:val="00635AE2"/>
    <w:rsid w:val="0064742A"/>
    <w:rsid w:val="0065266D"/>
    <w:rsid w:val="00666190"/>
    <w:rsid w:val="00691344"/>
    <w:rsid w:val="00691FA8"/>
    <w:rsid w:val="006B6285"/>
    <w:rsid w:val="006F4F69"/>
    <w:rsid w:val="006F529A"/>
    <w:rsid w:val="00706F4E"/>
    <w:rsid w:val="007132CF"/>
    <w:rsid w:val="007626A5"/>
    <w:rsid w:val="007656F2"/>
    <w:rsid w:val="00765F09"/>
    <w:rsid w:val="007735C5"/>
    <w:rsid w:val="007952D3"/>
    <w:rsid w:val="007B3510"/>
    <w:rsid w:val="007C6D6B"/>
    <w:rsid w:val="00801C05"/>
    <w:rsid w:val="0080222A"/>
    <w:rsid w:val="00817B03"/>
    <w:rsid w:val="00824CC4"/>
    <w:rsid w:val="008443BB"/>
    <w:rsid w:val="00865BFD"/>
    <w:rsid w:val="008730A1"/>
    <w:rsid w:val="008A14B3"/>
    <w:rsid w:val="008A58E9"/>
    <w:rsid w:val="008C4D89"/>
    <w:rsid w:val="008D1725"/>
    <w:rsid w:val="008D51CF"/>
    <w:rsid w:val="00901992"/>
    <w:rsid w:val="00912572"/>
    <w:rsid w:val="00925F21"/>
    <w:rsid w:val="00941711"/>
    <w:rsid w:val="009657E9"/>
    <w:rsid w:val="009736D5"/>
    <w:rsid w:val="009A4C07"/>
    <w:rsid w:val="009A5969"/>
    <w:rsid w:val="009D06B4"/>
    <w:rsid w:val="009F2DE0"/>
    <w:rsid w:val="00A070A8"/>
    <w:rsid w:val="00A0742E"/>
    <w:rsid w:val="00A1143C"/>
    <w:rsid w:val="00A3120D"/>
    <w:rsid w:val="00A4024B"/>
    <w:rsid w:val="00A5514C"/>
    <w:rsid w:val="00A57BF1"/>
    <w:rsid w:val="00A62613"/>
    <w:rsid w:val="00A63EFD"/>
    <w:rsid w:val="00A90F50"/>
    <w:rsid w:val="00AD4267"/>
    <w:rsid w:val="00B259A1"/>
    <w:rsid w:val="00B7526B"/>
    <w:rsid w:val="00B86B0D"/>
    <w:rsid w:val="00BD3576"/>
    <w:rsid w:val="00BE4B4E"/>
    <w:rsid w:val="00C13A19"/>
    <w:rsid w:val="00C475E9"/>
    <w:rsid w:val="00C823CA"/>
    <w:rsid w:val="00C834CC"/>
    <w:rsid w:val="00CA01FD"/>
    <w:rsid w:val="00CB1C7C"/>
    <w:rsid w:val="00CE2002"/>
    <w:rsid w:val="00CE53D8"/>
    <w:rsid w:val="00D33E34"/>
    <w:rsid w:val="00D41527"/>
    <w:rsid w:val="00D46C51"/>
    <w:rsid w:val="00D51DB3"/>
    <w:rsid w:val="00D53AA4"/>
    <w:rsid w:val="00D82FD7"/>
    <w:rsid w:val="00DA0CFF"/>
    <w:rsid w:val="00DD3E68"/>
    <w:rsid w:val="00DD7C6B"/>
    <w:rsid w:val="00DF08F0"/>
    <w:rsid w:val="00E14A7E"/>
    <w:rsid w:val="00E57688"/>
    <w:rsid w:val="00E65645"/>
    <w:rsid w:val="00E836D0"/>
    <w:rsid w:val="00E92625"/>
    <w:rsid w:val="00EA0A22"/>
    <w:rsid w:val="00F15154"/>
    <w:rsid w:val="00F151A4"/>
    <w:rsid w:val="00F168E5"/>
    <w:rsid w:val="00F246D0"/>
    <w:rsid w:val="00F254EA"/>
    <w:rsid w:val="00F67BC3"/>
    <w:rsid w:val="00F71D80"/>
    <w:rsid w:val="00F908A5"/>
    <w:rsid w:val="00F9432D"/>
    <w:rsid w:val="00FA45EF"/>
    <w:rsid w:val="00FC122B"/>
    <w:rsid w:val="00FC6F65"/>
    <w:rsid w:val="00FE7312"/>
    <w:rsid w:val="02056D00"/>
    <w:rsid w:val="02D261A7"/>
    <w:rsid w:val="04487828"/>
    <w:rsid w:val="062A31D9"/>
    <w:rsid w:val="091000E3"/>
    <w:rsid w:val="0BFC7048"/>
    <w:rsid w:val="0C762A6A"/>
    <w:rsid w:val="0DA77E7A"/>
    <w:rsid w:val="117417AC"/>
    <w:rsid w:val="170967D5"/>
    <w:rsid w:val="1A9B5341"/>
    <w:rsid w:val="1B3D5001"/>
    <w:rsid w:val="1BB9030F"/>
    <w:rsid w:val="1C876837"/>
    <w:rsid w:val="1CDA105D"/>
    <w:rsid w:val="1DC96097"/>
    <w:rsid w:val="1E850CD7"/>
    <w:rsid w:val="205E2B2E"/>
    <w:rsid w:val="2318643B"/>
    <w:rsid w:val="250B43AE"/>
    <w:rsid w:val="261C185C"/>
    <w:rsid w:val="283F090E"/>
    <w:rsid w:val="2D8D33A3"/>
    <w:rsid w:val="2F522AEC"/>
    <w:rsid w:val="384E231A"/>
    <w:rsid w:val="3BE7108D"/>
    <w:rsid w:val="3E1E443B"/>
    <w:rsid w:val="3F591E5E"/>
    <w:rsid w:val="40F31D19"/>
    <w:rsid w:val="43BD5505"/>
    <w:rsid w:val="443A04B0"/>
    <w:rsid w:val="47FB7895"/>
    <w:rsid w:val="48E17754"/>
    <w:rsid w:val="4F67241B"/>
    <w:rsid w:val="571132F2"/>
    <w:rsid w:val="57B14E70"/>
    <w:rsid w:val="5AD05272"/>
    <w:rsid w:val="5C5E14B1"/>
    <w:rsid w:val="5D594B18"/>
    <w:rsid w:val="651B7AAD"/>
    <w:rsid w:val="66703B60"/>
    <w:rsid w:val="69F720E8"/>
    <w:rsid w:val="6BC4672D"/>
    <w:rsid w:val="6E4D2C05"/>
    <w:rsid w:val="6F5B5E20"/>
    <w:rsid w:val="71080E6A"/>
    <w:rsid w:val="74A6714B"/>
    <w:rsid w:val="7C9C66D7"/>
    <w:rsid w:val="7D8C774D"/>
    <w:rsid w:val="7FB96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仿宋_GB2312"/>
      <w:sz w:val="2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563C1" w:themeColor="hyperlink"/>
      <w:u w:val="single"/>
    </w:rPr>
  </w:style>
  <w:style w:type="paragraph" w:styleId="10">
    <w:name w:val="List Paragraph"/>
    <w:basedOn w:val="1"/>
    <w:qFormat/>
    <w:uiPriority w:val="34"/>
    <w:pPr>
      <w:ind w:firstLine="420" w:firstLineChars="200"/>
    </w:pPr>
  </w:style>
  <w:style w:type="character" w:customStyle="1" w:styleId="11">
    <w:name w:val="Unresolved Mention"/>
    <w:basedOn w:val="7"/>
    <w:semiHidden/>
    <w:unhideWhenUsed/>
    <w:qFormat/>
    <w:uiPriority w:val="99"/>
    <w:rPr>
      <w:color w:val="605E5C"/>
      <w:shd w:val="clear" w:color="auto" w:fill="E1DFDD"/>
    </w:rPr>
  </w:style>
  <w:style w:type="paragraph" w:customStyle="1" w:styleId="12">
    <w:name w:val="前言、引言标题"/>
    <w:basedOn w:val="1"/>
    <w:qFormat/>
    <w:uiPriority w:val="0"/>
    <w:pPr>
      <w:numPr>
        <w:ilvl w:val="0"/>
        <w:numId w:val="1"/>
      </w:numPr>
    </w:pPr>
    <w:rPr>
      <w:szCs w:val="24"/>
    </w:rPr>
  </w:style>
  <w:style w:type="paragraph" w:customStyle="1" w:styleId="13">
    <w:name w:val="章标题"/>
    <w:basedOn w:val="1"/>
    <w:qFormat/>
    <w:uiPriority w:val="0"/>
    <w:pPr>
      <w:numPr>
        <w:ilvl w:val="1"/>
        <w:numId w:val="1"/>
      </w:numP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4648</Words>
  <Characters>4770</Characters>
  <Lines>38</Lines>
  <Paragraphs>10</Paragraphs>
  <TotalTime>4</TotalTime>
  <ScaleCrop>false</ScaleCrop>
  <LinksUpToDate>false</LinksUpToDate>
  <CharactersWithSpaces>5029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2022-02-18T00:48:00Z</dcterms:created>
  <dc:creator>巨鹏 林</dc:creator>
  <cp:lastModifiedBy>海南省建筑业协会</cp:lastModifiedBy>
  <cp:lastPrinted>2021-09-26T01:25:00Z</cp:lastPrinted>
  <dcterms:modified xsi:type="dcterms:W3CDTF">2024-06-27T03:03:52Z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9648EA443DBA4F1C888970A5C4E2B882</vt:lpwstr>
  </property>
</Properties>
</file>